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Губернатора Белгородской обл. от 04.03.2020 N 16</w:t>
              <w:br/>
              <w:t xml:space="preserve">"Об утверждении порядка взаимодействия территориальных органов Пенсионного фонда Российской Федерации, органов исполнительной власти Белгородской области и учреждений Белгородской области по проведению заблаговременной работы и вынесению решения о выдаче государственного сертификата на материнский (семейный) капитал"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ГУБЕРНАТОР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4 марта 2020 г. N 16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ПОРЯДКА ВЗАИМОДЕЙСТВИЯ ТЕРРИТОРИАЛЬНЫХ</w:t>
      </w:r>
    </w:p>
    <w:p>
      <w:pPr>
        <w:pStyle w:val="2"/>
        <w:jc w:val="center"/>
      </w:pPr>
      <w:r>
        <w:rPr>
          <w:sz w:val="20"/>
        </w:rPr>
        <w:t xml:space="preserve">ОРГАНОВ ПЕНСИОННОГО ФОНДА РОССИЙСКОЙ ФЕДЕРАЦИИ, ОРГАНОВ</w:t>
      </w:r>
    </w:p>
    <w:p>
      <w:pPr>
        <w:pStyle w:val="2"/>
        <w:jc w:val="center"/>
      </w:pPr>
      <w:r>
        <w:rPr>
          <w:sz w:val="20"/>
        </w:rPr>
        <w:t xml:space="preserve">ИСПОЛНИТЕЛЬНОЙ ВЛАСТИ БЕЛГОРОДСКОЙ ОБЛАСТИ И УЧРЕЖДЕНИЙ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ПО ПРОВЕДЕНИЮ ЗАБЛАГОВРЕМЕННОЙ РАБОТЫ</w:t>
      </w:r>
    </w:p>
    <w:p>
      <w:pPr>
        <w:pStyle w:val="2"/>
        <w:jc w:val="center"/>
      </w:pPr>
      <w:r>
        <w:rPr>
          <w:sz w:val="20"/>
        </w:rPr>
        <w:t xml:space="preserve">И ВЫНЕСЕНИЮ РЕШЕНИЯ О ВЫДАЧЕ ГОСУДАРСТВЕННОГО</w:t>
      </w:r>
    </w:p>
    <w:p>
      <w:pPr>
        <w:pStyle w:val="2"/>
        <w:jc w:val="center"/>
      </w:pPr>
      <w:r>
        <w:rPr>
          <w:sz w:val="20"/>
        </w:rPr>
        <w:t xml:space="preserve">СЕРТИФИКАТА НА МАТЕРИНСКИЙ (СЕМЕЙНЫЙ) КАПИТАЛ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Федеральным </w:t>
      </w:r>
      <w:hyperlink w:history="0" r:id="rId7" w:tooltip="Федеральный закон от 29.12.2006 N 256-ФЗ (ред. от 25.12.2023) &quot;О дополнительных мерах государственной поддержки семей, имеющих детей&quot; (с изм. и доп., вступ. в силу с 05.01.2024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29 декабря 2006 года N 256-ФЗ "О дополнительных мерах государственной поддержки семей, имеющих детей", в целях предоставления женщинам, родившим второго и последующего ребенка, максимального удобства при получении государственного сертификата на материнский (семейный) капитал постановляю: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45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взаимодействия территориальных органов Пенсионного фонда Российской Федерации, органов исполнительной власти Белгородской области и учреждений Белгородской области по проведению заблаговременной работы и вынесению решения о выдаче государственного сертификата на материнский (семейный) капитал (далее - Порядок, прилагается).</w:t>
      </w:r>
    </w:p>
    <w:p>
      <w:pPr>
        <w:pStyle w:val="0"/>
        <w:jc w:val="both"/>
      </w:pPr>
      <w:r>
        <w:rPr>
          <w:sz w:val="20"/>
        </w:rPr>
      </w:r>
    </w:p>
    <w:bookmarkStart w:id="17" w:name="P17"/>
    <w:bookmarkEnd w:id="17"/>
    <w:p>
      <w:pPr>
        <w:pStyle w:val="0"/>
        <w:ind w:firstLine="540"/>
        <w:jc w:val="both"/>
      </w:pPr>
      <w:r>
        <w:rPr>
          <w:sz w:val="20"/>
        </w:rPr>
        <w:t xml:space="preserve">2. Департаменту здравоохранения и социальной защиты населения Белгородской области (Зубарева Н.Н.), управлению социальной защиты населения Белгородской области (Батанова Е.П.), Государственному учреждению - Белгородскому региональному отделению Фонда социального страхования Российской Федерации (Шушкова И.С.) обеспечить представление Государственному учреждению - Отделению Пенсионного фонда Российской Федерации по Белгородской области информации, необходимой для принятия решения о выдаче государственного сертификата на материнский (семейный) капитал в соответствии с Порядком.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Государственному учреждению - Отделению Пенсионного фонда Российской Федерации по Белгородской области (Худаев Д.В.) на основании сведений, содержащихся в Едином государственном реестре записи актов гражданского состояния, и сведений, полученных от органов исполнительной власти Белгородской области и учреждений Белгородской области, указанных в </w:t>
      </w:r>
      <w:hyperlink w:history="0" w:anchor="P17" w:tooltip="2. Департаменту здравоохранения и социальной защиты населения Белгородской области (Зубарева Н.Н.), управлению социальной защиты населения Белгородской области (Батанова Е.П.), Государственному учреждению - Белгородскому региональному отделению Фонда социального страхования Российской Федерации (Шушкова И.С.) обеспечить представление Государственному учреждению - Отделению Пенсионного фонда Российской Федерации по Белгородской области информации, необходимой для принятия решения о выдаче государственного...">
        <w:r>
          <w:rPr>
            <w:sz w:val="20"/>
            <w:color w:val="0000ff"/>
          </w:rPr>
          <w:t xml:space="preserve">пункте 2</w:t>
        </w:r>
      </w:hyperlink>
      <w:r>
        <w:rPr>
          <w:sz w:val="20"/>
        </w:rPr>
        <w:t xml:space="preserve"> настоящего постановления, обеспечить оформление и выдачу государственного сертификата на материнский (семейный) капитал в беззаявительном порядке.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Департаменту здравоохранения и социальной защиты населения Белгородской области (Зубарева Н.Н.), управлению социальной защиты населения Белгородской области (Батанова Е.П.), управлению записи актов гражданского состояния Белгородской области (Слюсаренко Т.М.), Государственному учреждению - Белгородскому региональному отделению Фонда социального страхования Российской Федерации (Шушкова И.С.), департаменту внутренней и кадровой политики Белгородской области (Павлова О.А.), рекомендовать главам администраций муниципальных районов и городских округов совместно с Государственным учреждением - Отделением Пенсионного фонда Российской Федерации по Белгородской области обеспечить информирование населения об утвержденном </w:t>
      </w:r>
      <w:hyperlink w:history="0" w:anchor="P45" w:tooltip="ПОРЯДОК">
        <w:r>
          <w:rPr>
            <w:sz w:val="20"/>
            <w:color w:val="0000ff"/>
          </w:rPr>
          <w:t xml:space="preserve">Порядке</w:t>
        </w:r>
      </w:hyperlink>
      <w:r>
        <w:rPr>
          <w:sz w:val="20"/>
        </w:rPr>
        <w:t xml:space="preserve">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Рекомендовать Государственному учреждению - Отделению Пенсионного фонда Российской Федерации по Белгородской области (Худаев Д.В.), органам местного самоуправления муниципальных районов и городских округов, Государственному учреждению - Белгородскому региональному отделению Фонда социального страхования Российской Федерации (Шушкова И.С.) руководствоваться настоящим постановлением.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 Признать утратившим силу </w:t>
      </w:r>
      <w:hyperlink w:history="0" r:id="rId8" w:tooltip="Постановление губернатора Белгородской обл. от 14.02.2007 N 26 &quot;О Порядке взаимодействия управлений и служб области при оформлении и выдаче государственного сертификата на материнский (семейный) капитал&quot; (вместе с &quot;Порядком взаимодействия управлений и служб области при оформлении и выдаче государственного сертификата на материнский (семейный) капитал при выписке из родильного отделения&quot;) ------------ Утратил силу или отменен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Губернатора Белгородской области от 14 февраля 2007 года N 26 "О порядке взаимодействия управлений и служб области при оформлении и выдаче государственного сертификата на материнский (семейный) капитал".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7. Контроль за исполнением постановления возложить на департамент здравоохранения и социальной защиты населения Белгородской области (Зубарева Н.Н.).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8.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Е.С.САВЧЕНКО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Губернатора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4 марта 2020 г. N 16</w:t>
      </w:r>
    </w:p>
    <w:p>
      <w:pPr>
        <w:pStyle w:val="0"/>
        <w:jc w:val="both"/>
      </w:pPr>
      <w:r>
        <w:rPr>
          <w:sz w:val="20"/>
        </w:rPr>
      </w:r>
    </w:p>
    <w:bookmarkStart w:id="45" w:name="P45"/>
    <w:bookmarkEnd w:id="45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ВЗАИМОДЕЙСТВИЯ ТЕРРИТОРИАЛЬНЫХ ОРГАНОВ ПЕНСИОННОГО ФОНДА</w:t>
      </w:r>
    </w:p>
    <w:p>
      <w:pPr>
        <w:pStyle w:val="2"/>
        <w:jc w:val="center"/>
      </w:pPr>
      <w:r>
        <w:rPr>
          <w:sz w:val="20"/>
        </w:rPr>
        <w:t xml:space="preserve">РОССИЙСКОЙ ФЕДЕРАЦИИ, ОРГАНОВ ИСПОЛНИТЕЛЬНОЙ ВЛАСТИ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И УЧРЕЖДЕНИЙ БЕЛГОРОДСКОЙ ОБЛАСТИ</w:t>
      </w:r>
    </w:p>
    <w:p>
      <w:pPr>
        <w:pStyle w:val="2"/>
        <w:jc w:val="center"/>
      </w:pPr>
      <w:r>
        <w:rPr>
          <w:sz w:val="20"/>
        </w:rPr>
        <w:t xml:space="preserve">ПО ПРОВЕДЕНИЮ ЗАБЛАГОВРЕМЕННОЙ РАБОТЫ И ВЫНЕСЕНИЮ</w:t>
      </w:r>
    </w:p>
    <w:p>
      <w:pPr>
        <w:pStyle w:val="2"/>
        <w:jc w:val="center"/>
      </w:pPr>
      <w:r>
        <w:rPr>
          <w:sz w:val="20"/>
        </w:rPr>
        <w:t xml:space="preserve">РЕШЕНИЯ О ВЫДАЧЕ ГОСУДАРСТВЕННОГО СЕРТИФИКАТА</w:t>
      </w:r>
    </w:p>
    <w:p>
      <w:pPr>
        <w:pStyle w:val="2"/>
        <w:jc w:val="center"/>
      </w:pPr>
      <w:r>
        <w:rPr>
          <w:sz w:val="20"/>
        </w:rPr>
        <w:t xml:space="preserve">НА МАТЕРИНСКИЙ (СЕМЕЙНЫЙ) КАПИТАЛ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Порядок взаимодействия территориальных органов Пенсионного фонда Российской Федерации, органов исполнительной власти Белгородской области и учреждений Белгородской области по проведению заблаговременной работы и вынесению решения о выдаче государственного сертификата на материнский (семейный) капитал (далее - Порядок) определяет механизм взаимодействия территориальных органов Пенсионного фонда Российской Федерации, департамента здравоохранения и социальной защиты населения Белгородской области, управления социальной защиты населения Белгородской области, управления записи актов гражданского состояния Белгородской области, Государственного учреждения - Белгородского регионального отделения Фонда социального страхования Российской Федерации по проведению заблаговременной работы и вынесению решения о выдаче государственного сертификата на материнский (семейный) капитал.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Департамент здравоохранения и социальной защиты населения Белгородской области обеспечивает: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ежемесячно, в срок до 5 числа месяца, следующего за отчетным, представление ответственным лицом, определенным руководителем лечебно-профилактического учреждения каждого муниципального образования, оказывающего медицинскую помощь во время беременности, информации о беременных женщинах, состоящих на учете по беременности, в управление Пенсионного фонда Российской Федерации по месту проживания или регистрации беременной женщины;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течение первых суток после родоразрешения представление по установленной форме ответственным лицом, определенным руководителем лечебно-профилактического учреждения каждого муниципального образования, оказывающего медицинскую помощь женщинам в родах, информации по факту родоразрешения женщины в управление Пенсионного фонда Российской Федерации по месту родоразрешения женщины;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содействие в заполнении беременной женщиной социального </w:t>
      </w:r>
      <w:hyperlink w:history="0" w:anchor="P83" w:tooltip="Социальный паспорт">
        <w:r>
          <w:rPr>
            <w:sz w:val="20"/>
            <w:color w:val="0000ff"/>
          </w:rPr>
          <w:t xml:space="preserve">паспорта</w:t>
        </w:r>
      </w:hyperlink>
      <w:r>
        <w:rPr>
          <w:sz w:val="20"/>
        </w:rPr>
        <w:t xml:space="preserve">, оформленного согласно приложению к Порядку, и передачу социального паспорта в управление Пенсионного фонда Российской Федерации по месту постановки женщины на учет;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вручение памяток о порядке получения сертификата на материнский (семейный) капитал в беззаявительном порядке.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Государственное учреждение - Белгородское региональное отделение Фонда социального страхования Российской Федерации обеспечивает по запросам Государственного учреждения - Отделения Пенсионного фонда Российской Федерации по Белгородской области представление сведений о предыдущих детях женщины на основании сведений о полученных выплатах, связанных с рождением детей, и на основании сведений о ранее полученных ею родовых сертификатов.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Управления (отделы) социальной защиты населения муниципальных образований области обеспечивают по запросам управлений Пенсионного фонда Российской Федерации представление сведений о предыдущих детях женщины на основании сведений о получаемых выплатах родителями, детьми.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Управление записи актов гражданского состояния Белгородской области обеспечивает: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государственную регистрацию рождения ребенка в день получения заявления родителей;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вручение памяток о порядке получения сертификата на материнский (семейный) капитал в беззаявительном порядке.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Управления Пенсионного фонда Российской Федерации в городах и районах области обеспечивают: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проведение заблаговременной работы в отношении женщин, ожидающих рождения ребенка, для определения очередности рождения ребенка и наличия сведений о предыдущих детях;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вынесение решения о выдаче либо об отказе в выдаче сертификата на основании сведений, поступающих из Единого государственного реестра записи актов гражданского состояния, в срок, не превышающий 10 (десяти) рабочих дней;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проведение разъяснительной работы о порядке получения сертификата на материнский (семейный) капитал в беззаявительном порядке и возможности информирования женщин о принятом решении о выдаче сертификата любым доступным способом.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  <w:t xml:space="preserve">к Порядку взаимодействия территориальных органов</w:t>
      </w:r>
    </w:p>
    <w:p>
      <w:pPr>
        <w:pStyle w:val="0"/>
        <w:jc w:val="right"/>
      </w:pPr>
      <w:r>
        <w:rPr>
          <w:sz w:val="20"/>
        </w:rPr>
        <w:t xml:space="preserve">Пенсионного фонда Российской Федерации,</w:t>
      </w:r>
    </w:p>
    <w:p>
      <w:pPr>
        <w:pStyle w:val="0"/>
        <w:jc w:val="right"/>
      </w:pPr>
      <w:r>
        <w:rPr>
          <w:sz w:val="20"/>
        </w:rPr>
        <w:t xml:space="preserve">органов исполнительной власти Белгородской</w:t>
      </w:r>
    </w:p>
    <w:p>
      <w:pPr>
        <w:pStyle w:val="0"/>
        <w:jc w:val="right"/>
      </w:pPr>
      <w:r>
        <w:rPr>
          <w:sz w:val="20"/>
        </w:rPr>
        <w:t xml:space="preserve">области и учреждений Белгородской области</w:t>
      </w:r>
    </w:p>
    <w:p>
      <w:pPr>
        <w:pStyle w:val="0"/>
        <w:jc w:val="right"/>
      </w:pPr>
      <w:r>
        <w:rPr>
          <w:sz w:val="20"/>
        </w:rPr>
        <w:t xml:space="preserve">по проведению заблаговременной работы</w:t>
      </w:r>
    </w:p>
    <w:p>
      <w:pPr>
        <w:pStyle w:val="0"/>
        <w:jc w:val="right"/>
      </w:pPr>
      <w:r>
        <w:rPr>
          <w:sz w:val="20"/>
        </w:rPr>
        <w:t xml:space="preserve">и вынесению решения о выдаче</w:t>
      </w:r>
    </w:p>
    <w:p>
      <w:pPr>
        <w:pStyle w:val="0"/>
        <w:jc w:val="right"/>
      </w:pPr>
      <w:r>
        <w:rPr>
          <w:sz w:val="20"/>
        </w:rPr>
        <w:t xml:space="preserve">государственного сертификата</w:t>
      </w:r>
    </w:p>
    <w:p>
      <w:pPr>
        <w:pStyle w:val="0"/>
        <w:jc w:val="right"/>
      </w:pPr>
      <w:r>
        <w:rPr>
          <w:sz w:val="20"/>
        </w:rPr>
        <w:t xml:space="preserve">на материнский (семейный) капитал</w:t>
      </w:r>
    </w:p>
    <w:p>
      <w:pPr>
        <w:pStyle w:val="0"/>
        <w:jc w:val="both"/>
      </w:pPr>
      <w:r>
        <w:rPr>
          <w:sz w:val="20"/>
        </w:rPr>
      </w:r>
    </w:p>
    <w:bookmarkStart w:id="83" w:name="P83"/>
    <w:bookmarkEnd w:id="83"/>
    <w:p>
      <w:pPr>
        <w:pStyle w:val="0"/>
        <w:jc w:val="center"/>
      </w:pPr>
      <w:r>
        <w:rPr>
          <w:sz w:val="20"/>
        </w:rPr>
        <w:t xml:space="preserve">Социальный паспорт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60"/>
        <w:gridCol w:w="997"/>
        <w:gridCol w:w="364"/>
        <w:gridCol w:w="397"/>
        <w:gridCol w:w="680"/>
        <w:gridCol w:w="742"/>
        <w:gridCol w:w="432"/>
        <w:gridCol w:w="431"/>
        <w:gridCol w:w="419"/>
        <w:gridCol w:w="644"/>
        <w:gridCol w:w="537"/>
        <w:gridCol w:w="340"/>
        <w:gridCol w:w="231"/>
        <w:gridCol w:w="503"/>
        <w:gridCol w:w="605"/>
        <w:gridCol w:w="874"/>
        <w:gridCol w:w="397"/>
      </w:tblGrid>
      <w:tr>
        <w:tblPrEx>
          <w:tblBorders>
            <w:insideV w:val="nil"/>
            <w:insideH w:val="nil"/>
          </w:tblBorders>
        </w:tblPrEx>
        <w:tc>
          <w:tcPr>
            <w:gridSpan w:val="5"/>
            <w:tcW w:w="2898" w:type="dxa"/>
            <w:tcBorders>
              <w:top w:val="nil"/>
              <w:bottom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_ДАННЫЕ МАТЕРИ:_</w:t>
            </w:r>
          </w:p>
        </w:tc>
        <w:tc>
          <w:tcPr>
            <w:gridSpan w:val="12"/>
            <w:tcW w:w="6155" w:type="dxa"/>
            <w:tcBorders>
              <w:top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blPrEx>
          <w:tblBorders>
            <w:right w:val="single" w:sz="4"/>
            <w:insideH w:val="nil"/>
          </w:tblBorders>
        </w:tblPrEx>
        <w:tc>
          <w:tcPr>
            <w:gridSpan w:val="5"/>
            <w:tcW w:w="2898" w:type="dxa"/>
            <w:vAlign w:val="center"/>
            <w:tcBorders>
              <w:top w:val="nil"/>
              <w:left w:val="nil"/>
              <w:bottom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СНИЛС</w:t>
            </w:r>
          </w:p>
        </w:tc>
        <w:tc>
          <w:tcPr>
            <w:gridSpan w:val="12"/>
            <w:tcW w:w="6155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blPrEx>
          <w:tblBorders>
            <w:right w:val="single" w:sz="4"/>
            <w:insideH w:val="nil"/>
          </w:tblBorders>
        </w:tblPrEx>
        <w:tc>
          <w:tcPr>
            <w:gridSpan w:val="5"/>
            <w:tcW w:w="2898" w:type="dxa"/>
            <w:vAlign w:val="bottom"/>
            <w:tcBorders>
              <w:top w:val="nil"/>
              <w:left w:val="nil"/>
              <w:bottom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ФАМИЛИЯ (девичья фамилия)</w:t>
            </w:r>
          </w:p>
        </w:tc>
        <w:tc>
          <w:tcPr>
            <w:gridSpan w:val="12"/>
            <w:tcW w:w="6155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blPrEx>
          <w:tblBorders>
            <w:right w:val="single" w:sz="4"/>
            <w:insideH w:val="nil"/>
          </w:tblBorders>
        </w:tblPrEx>
        <w:tc>
          <w:tcPr>
            <w:gridSpan w:val="5"/>
            <w:tcW w:w="2898" w:type="dxa"/>
            <w:vAlign w:val="center"/>
            <w:tcBorders>
              <w:top w:val="nil"/>
              <w:left w:val="nil"/>
              <w:bottom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ИМЯ</w:t>
            </w:r>
          </w:p>
        </w:tc>
        <w:tc>
          <w:tcPr>
            <w:gridSpan w:val="12"/>
            <w:tcW w:w="6155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blPrEx>
          <w:tblBorders>
            <w:right w:val="single" w:sz="4"/>
            <w:insideH w:val="nil"/>
          </w:tblBorders>
        </w:tblPrEx>
        <w:tc>
          <w:tcPr>
            <w:gridSpan w:val="5"/>
            <w:tcW w:w="2898" w:type="dxa"/>
            <w:vAlign w:val="center"/>
            <w:tcBorders>
              <w:top w:val="nil"/>
              <w:left w:val="nil"/>
              <w:bottom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ОТЧЕСТВО</w:t>
            </w:r>
          </w:p>
        </w:tc>
        <w:tc>
          <w:tcPr>
            <w:gridSpan w:val="12"/>
            <w:tcW w:w="6155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gridSpan w:val="5"/>
            <w:tcW w:w="2898" w:type="dxa"/>
            <w:vAlign w:val="center"/>
            <w:tcBorders>
              <w:top w:val="nil"/>
              <w:left w:val="nil"/>
              <w:bottom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ДАТА РОЖДЕНИЯ</w:t>
            </w:r>
          </w:p>
        </w:tc>
        <w:tc>
          <w:tcPr>
            <w:gridSpan w:val="9"/>
            <w:tcW w:w="4279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г.</w:t>
            </w:r>
          </w:p>
        </w:tc>
        <w:tc>
          <w:tcPr>
            <w:gridSpan w:val="3"/>
            <w:tcW w:w="1876" w:type="dxa"/>
            <w:tcBorders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blPrEx>
          <w:tblBorders>
            <w:insideH w:val="nil"/>
          </w:tblBorders>
        </w:tblPrEx>
        <w:tc>
          <w:tcPr>
            <w:gridSpan w:val="5"/>
            <w:tcW w:w="2898" w:type="dxa"/>
            <w:vAlign w:val="center"/>
            <w:tcBorders>
              <w:top w:val="nil"/>
              <w:left w:val="nil"/>
              <w:bottom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ГРАЖДАНСТВО</w:t>
            </w:r>
          </w:p>
        </w:tc>
        <w:tc>
          <w:tcPr>
            <w:gridSpan w:val="9"/>
            <w:tcW w:w="427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gridSpan w:val="3"/>
            <w:tcBorders>
              <w:right w:val="nil"/>
            </w:tcBorders>
            <w:vMerge w:val="continue"/>
          </w:tcPr>
          <w:p/>
        </w:tc>
      </w:tr>
      <w:tr>
        <w:tc>
          <w:tcPr>
            <w:gridSpan w:val="5"/>
            <w:tcW w:w="2898" w:type="dxa"/>
            <w:vAlign w:val="center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РАБОТАЮ:</w:t>
            </w:r>
          </w:p>
        </w:tc>
        <w:tc>
          <w:tcPr>
            <w:gridSpan w:val="2"/>
            <w:tcW w:w="1174" w:type="dxa"/>
            <w:vAlign w:val="center"/>
            <w:tcBorders>
              <w:lef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ДА</w:t>
            </w:r>
          </w:p>
        </w:tc>
        <w:tc>
          <w:tcPr>
            <w:gridSpan w:val="2"/>
            <w:tcW w:w="850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gridSpan w:val="2"/>
            <w:tcW w:w="1181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НЕТ</w:t>
            </w:r>
          </w:p>
        </w:tc>
        <w:tc>
          <w:tcPr>
            <w:gridSpan w:val="3"/>
            <w:tcW w:w="107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gridSpan w:val="3"/>
            <w:tcBorders>
              <w:right w:val="nil"/>
            </w:tcBorders>
            <w:vMerge w:val="continue"/>
          </w:tcPr>
          <w:p/>
        </w:tc>
      </w:tr>
      <w:tr>
        <w:tblPrEx>
          <w:tblBorders>
            <w:right w:val="single" w:sz="4"/>
            <w:insideH w:val="nil"/>
          </w:tblBorders>
        </w:tblPrEx>
        <w:tc>
          <w:tcPr>
            <w:gridSpan w:val="5"/>
            <w:tcW w:w="2898" w:type="dxa"/>
            <w:vAlign w:val="center"/>
            <w:tcBorders>
              <w:top w:val="nil"/>
              <w:left w:val="nil"/>
              <w:bottom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НОМЕР ТЕЛЕФОНА</w:t>
            </w:r>
          </w:p>
        </w:tc>
        <w:tc>
          <w:tcPr>
            <w:gridSpan w:val="12"/>
            <w:tcW w:w="6155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blPrEx>
          <w:tblBorders>
            <w:right w:val="single" w:sz="4"/>
            <w:insideH w:val="nil"/>
          </w:tblBorders>
        </w:tblPrEx>
        <w:tc>
          <w:tcPr>
            <w:gridSpan w:val="5"/>
            <w:tcW w:w="2898" w:type="dxa"/>
            <w:tcBorders>
              <w:top w:val="nil"/>
              <w:left w:val="nil"/>
              <w:bottom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АДРЕС ЭЛЕКТРОННОЙ ПОЧТЫ</w:t>
            </w:r>
          </w:p>
        </w:tc>
        <w:tc>
          <w:tcPr>
            <w:gridSpan w:val="12"/>
            <w:tcW w:w="6155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gridSpan w:val="5"/>
            <w:tcW w:w="2898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НАЛИЧИЕ ЛИЧНОГО КАБИНЕТА НА САЙТЕ ГОСУДАРСТВЕННЫХ УСЛУГ</w:t>
            </w:r>
          </w:p>
        </w:tc>
        <w:tc>
          <w:tcPr>
            <w:gridSpan w:val="2"/>
            <w:tcW w:w="1174" w:type="dxa"/>
            <w:vAlign w:val="center"/>
            <w:tcBorders>
              <w:left w:val="nil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ДА</w:t>
            </w:r>
          </w:p>
        </w:tc>
        <w:tc>
          <w:tcPr>
            <w:gridSpan w:val="2"/>
            <w:tcW w:w="850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gridSpan w:val="2"/>
            <w:tcW w:w="1181" w:type="dxa"/>
            <w:vAlign w:val="center"/>
          </w:tcPr>
          <w:p>
            <w:pPr>
              <w:pStyle w:val="0"/>
            </w:pPr>
            <w:r>
              <w:rPr>
                <w:sz w:val="20"/>
              </w:rPr>
              <w:t xml:space="preserve">НЕТ</w:t>
            </w:r>
          </w:p>
        </w:tc>
        <w:tc>
          <w:tcPr>
            <w:gridSpan w:val="3"/>
            <w:tcW w:w="107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gridSpan w:val="3"/>
            <w:tcW w:w="1876" w:type="dxa"/>
            <w:tcBorders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blPrEx>
          <w:tblBorders>
            <w:right w:val="single" w:sz="4"/>
            <w:insideH w:val="nil"/>
          </w:tblBorders>
        </w:tblPrEx>
        <w:tc>
          <w:tcPr>
            <w:gridSpan w:val="5"/>
            <w:tcW w:w="2898" w:type="dxa"/>
            <w:vAlign w:val="center"/>
            <w:tcBorders>
              <w:top w:val="nil"/>
              <w:left w:val="nil"/>
              <w:bottom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ДОМАШНИЙ АДРЕС: регион</w:t>
            </w:r>
          </w:p>
        </w:tc>
        <w:tc>
          <w:tcPr>
            <w:gridSpan w:val="12"/>
            <w:tcW w:w="6155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blPrEx>
          <w:tblBorders>
            <w:right w:val="single" w:sz="4"/>
            <w:insideH w:val="nil"/>
          </w:tblBorders>
        </w:tblPrEx>
        <w:tc>
          <w:tcPr>
            <w:gridSpan w:val="5"/>
            <w:tcW w:w="2898" w:type="dxa"/>
            <w:vAlign w:val="center"/>
            <w:tcBorders>
              <w:top w:val="nil"/>
              <w:left w:val="nil"/>
              <w:bottom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район</w:t>
            </w:r>
          </w:p>
        </w:tc>
        <w:tc>
          <w:tcPr>
            <w:gridSpan w:val="12"/>
            <w:tcW w:w="6155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blPrEx>
          <w:tblBorders>
            <w:right w:val="single" w:sz="4"/>
            <w:insideH w:val="nil"/>
          </w:tblBorders>
        </w:tblPrEx>
        <w:tc>
          <w:tcPr>
            <w:gridSpan w:val="5"/>
            <w:tcW w:w="2898" w:type="dxa"/>
            <w:vAlign w:val="center"/>
            <w:tcBorders>
              <w:top w:val="nil"/>
              <w:left w:val="nil"/>
              <w:bottom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город (населенный пункт)</w:t>
            </w:r>
          </w:p>
        </w:tc>
        <w:tc>
          <w:tcPr>
            <w:gridSpan w:val="12"/>
            <w:tcW w:w="6155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blPrEx>
          <w:tblBorders>
            <w:right w:val="single" w:sz="4"/>
            <w:insideH w:val="nil"/>
          </w:tblBorders>
        </w:tblPrEx>
        <w:tc>
          <w:tcPr>
            <w:gridSpan w:val="5"/>
            <w:tcW w:w="2898" w:type="dxa"/>
            <w:vAlign w:val="center"/>
            <w:tcBorders>
              <w:top w:val="nil"/>
              <w:left w:val="nil"/>
              <w:bottom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улица, дома, квартира</w:t>
            </w:r>
          </w:p>
        </w:tc>
        <w:tc>
          <w:tcPr>
            <w:gridSpan w:val="12"/>
            <w:tcW w:w="6155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gridSpan w:val="5"/>
            <w:tcW w:w="2898" w:type="dxa"/>
            <w:vAlign w:val="center"/>
            <w:tcBorders>
              <w:top w:val="nil"/>
              <w:left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КОЛИЧЕСТВО ДЕТЕЙ</w:t>
            </w:r>
          </w:p>
        </w:tc>
        <w:tc>
          <w:tcPr>
            <w:gridSpan w:val="4"/>
            <w:tcW w:w="20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gridSpan w:val="8"/>
            <w:tcW w:w="4131" w:type="dxa"/>
            <w:tcBorders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blPrEx>
          <w:tblBorders>
            <w:insideV w:val="nil"/>
            <w:insideH w:val="nil"/>
          </w:tblBorders>
        </w:tblPrEx>
        <w:tc>
          <w:tcPr>
            <w:gridSpan w:val="7"/>
            <w:tcW w:w="4072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СОСТАВ СЕМЬИ:</w:t>
            </w:r>
          </w:p>
        </w:tc>
        <w:tc>
          <w:tcPr>
            <w:gridSpan w:val="10"/>
            <w:tcW w:w="4981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blPrEx>
          <w:tblBorders>
            <w:insideV w:val="nil"/>
            <w:insideH w:val="nil"/>
          </w:tblBorders>
        </w:tblPrEx>
        <w:tc>
          <w:tcPr>
            <w:gridSpan w:val="2"/>
            <w:tcW w:w="1457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gridSpan w:val="5"/>
            <w:tcW w:w="2615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Ф.И.О.</w:t>
            </w:r>
          </w:p>
        </w:tc>
        <w:tc>
          <w:tcPr>
            <w:gridSpan w:val="6"/>
            <w:tcW w:w="2602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дата, рождения</w:t>
            </w:r>
          </w:p>
        </w:tc>
        <w:tc>
          <w:tcPr>
            <w:gridSpan w:val="4"/>
            <w:tcW w:w="2379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СНИЛС</w:t>
            </w:r>
          </w:p>
        </w:tc>
      </w:tr>
      <w:tr>
        <w:tblPrEx>
          <w:tblBorders>
            <w:left w:val="single" w:sz="4"/>
            <w:right w:val="single" w:sz="4"/>
            <w:insideV w:val="nil"/>
          </w:tblBorders>
        </w:tblPrEx>
        <w:tc>
          <w:tcPr>
            <w:gridSpan w:val="2"/>
            <w:tcW w:w="1457" w:type="dxa"/>
            <w:tcBorders>
              <w:left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(супруг)</w:t>
            </w:r>
          </w:p>
        </w:tc>
        <w:tc>
          <w:tcPr>
            <w:gridSpan w:val="15"/>
            <w:tcW w:w="7596" w:type="dxa"/>
            <w:tcBorders>
              <w:right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blPrEx>
          <w:tblBorders>
            <w:left w:val="single" w:sz="4"/>
            <w:right w:val="single" w:sz="4"/>
            <w:insideV w:val="nil"/>
          </w:tblBorders>
        </w:tblPrEx>
        <w:tc>
          <w:tcPr>
            <w:gridSpan w:val="2"/>
            <w:tcW w:w="1457" w:type="dxa"/>
            <w:tcBorders>
              <w:left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(ребенок)</w:t>
            </w:r>
          </w:p>
        </w:tc>
        <w:tc>
          <w:tcPr>
            <w:gridSpan w:val="15"/>
            <w:tcW w:w="7596" w:type="dxa"/>
            <w:tcBorders>
              <w:right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blPrEx>
          <w:tblBorders>
            <w:left w:val="single" w:sz="4"/>
            <w:right w:val="single" w:sz="4"/>
            <w:insideV w:val="nil"/>
          </w:tblBorders>
        </w:tblPrEx>
        <w:tc>
          <w:tcPr>
            <w:gridSpan w:val="2"/>
            <w:tcW w:w="1457" w:type="dxa"/>
            <w:tcBorders>
              <w:left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(ребенок)</w:t>
            </w:r>
          </w:p>
        </w:tc>
        <w:tc>
          <w:tcPr>
            <w:gridSpan w:val="15"/>
            <w:tcW w:w="7596" w:type="dxa"/>
            <w:tcBorders>
              <w:right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blPrEx>
          <w:tblBorders>
            <w:left w:val="single" w:sz="4"/>
            <w:right w:val="single" w:sz="4"/>
            <w:insideV w:val="nil"/>
          </w:tblBorders>
        </w:tblPrEx>
        <w:tc>
          <w:tcPr>
            <w:gridSpan w:val="2"/>
            <w:tcW w:w="1457" w:type="dxa"/>
            <w:tcBorders>
              <w:left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(ребенок)</w:t>
            </w:r>
          </w:p>
        </w:tc>
        <w:tc>
          <w:tcPr>
            <w:gridSpan w:val="15"/>
            <w:tcW w:w="7596" w:type="dxa"/>
            <w:tcBorders>
              <w:right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blPrEx>
          <w:tblBorders>
            <w:left w:val="single" w:sz="4"/>
            <w:right w:val="single" w:sz="4"/>
            <w:insideV w:val="nil"/>
          </w:tblBorders>
        </w:tblPrEx>
        <w:tc>
          <w:tcPr>
            <w:gridSpan w:val="2"/>
            <w:tcW w:w="1457" w:type="dxa"/>
            <w:tcBorders>
              <w:left w:val="single" w:sz="4"/>
            </w:tcBorders>
          </w:tcPr>
          <w:p>
            <w:pPr>
              <w:pStyle w:val="0"/>
            </w:pPr>
            <w:r>
              <w:rPr>
                <w:sz w:val="20"/>
              </w:rPr>
              <w:t xml:space="preserve">(ребенок)</w:t>
            </w:r>
          </w:p>
        </w:tc>
        <w:tc>
          <w:tcPr>
            <w:gridSpan w:val="15"/>
            <w:tcW w:w="7596" w:type="dxa"/>
            <w:tcBorders>
              <w:right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blPrEx>
          <w:tblBorders>
            <w:insideH w:val="nil"/>
          </w:tblBorders>
        </w:tblPrEx>
        <w:tc>
          <w:tcPr>
            <w:gridSpan w:val="17"/>
            <w:tcW w:w="9053" w:type="dxa"/>
            <w:tcBorders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Уведомление о выдаче государственного сертификата на МСК направить:</w:t>
            </w:r>
          </w:p>
        </w:tc>
      </w:tr>
      <w:tr>
        <w:tblPrEx>
          <w:tblBorders>
            <w:insideV w:val="nil"/>
            <w:insideH w:val="nil"/>
          </w:tblBorders>
        </w:tblPrEx>
        <w:tc>
          <w:tcPr>
            <w:gridSpan w:val="4"/>
            <w:tcW w:w="2218" w:type="dxa"/>
            <w:tcBorders>
              <w:top w:val="nil"/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личный кабинет</w:t>
            </w:r>
          </w:p>
        </w:tc>
        <w:tc>
          <w:tcPr>
            <w:gridSpan w:val="5"/>
            <w:tcW w:w="2704" w:type="dxa"/>
            <w:tcBorders>
              <w:top w:val="nil"/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электронный адрес</w:t>
            </w:r>
          </w:p>
        </w:tc>
        <w:tc>
          <w:tcPr>
            <w:gridSpan w:val="3"/>
            <w:tcW w:w="1521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телефон</w:t>
            </w:r>
          </w:p>
        </w:tc>
        <w:tc>
          <w:tcPr>
            <w:gridSpan w:val="2"/>
            <w:tcW w:w="734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gridSpan w:val="2"/>
            <w:tcW w:w="1479" w:type="dxa"/>
            <w:tcBorders>
              <w:top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почта</w:t>
            </w:r>
          </w:p>
        </w:tc>
        <w:tc>
          <w:tcPr>
            <w:tcW w:w="397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blPrEx>
          <w:tblBorders>
            <w:insideH w:val="nil"/>
          </w:tblBorders>
        </w:tblPrEx>
        <w:tc>
          <w:tcPr>
            <w:tcW w:w="460" w:type="dxa"/>
            <w:tcBorders>
              <w:top w:val="nil"/>
              <w:left w:val="nil"/>
              <w:bottom w:val="nil"/>
            </w:tcBorders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gridSpan w:val="2"/>
            <w:tcW w:w="1361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gridSpan w:val="2"/>
            <w:tcW w:w="1077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gridSpan w:val="2"/>
            <w:tcW w:w="1174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gridSpan w:val="2"/>
            <w:tcW w:w="85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gridSpan w:val="3"/>
            <w:tcW w:w="152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gridSpan w:val="2"/>
            <w:tcW w:w="734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gridSpan w:val="2"/>
            <w:tcW w:w="1479" w:type="dxa"/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  <w:tc>
          <w:tcPr>
            <w:tcW w:w="397" w:type="dxa"/>
            <w:tcBorders>
              <w:top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blPrEx>
          <w:tblBorders>
            <w:insideH w:val="nil"/>
          </w:tblBorders>
        </w:tblPrEx>
        <w:tc>
          <w:tcPr>
            <w:gridSpan w:val="17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Я (Ф.И.О. полностью)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Даю согласие оператору персональных данных - УПФР _____________ Белгородской области на обработку персональных данных, а именно сведений о детях с целью определения права на дополнительные меры государственной поддержки семей, имеющих детей.</w:t>
            </w:r>
          </w:p>
        </w:tc>
      </w:tr>
      <w:tr>
        <w:tblPrEx>
          <w:tblBorders>
            <w:insideV w:val="nil"/>
            <w:insideH w:val="nil"/>
          </w:tblBorders>
        </w:tblPrEx>
        <w:tc>
          <w:tcPr>
            <w:gridSpan w:val="8"/>
            <w:tcW w:w="4503" w:type="dxa"/>
            <w:tcBorders>
              <w:top w:val="nil"/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(дата)</w:t>
            </w:r>
          </w:p>
        </w:tc>
        <w:tc>
          <w:tcPr>
            <w:gridSpan w:val="7"/>
            <w:tcW w:w="3279" w:type="dxa"/>
            <w:tcBorders>
              <w:top w:val="nil"/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(подпись)</w:t>
            </w:r>
          </w:p>
        </w:tc>
        <w:tc>
          <w:tcPr>
            <w:gridSpan w:val="2"/>
            <w:tcW w:w="1271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blPrEx>
          <w:tblBorders>
            <w:insideH w:val="nil"/>
          </w:tblBorders>
        </w:tblPrEx>
        <w:tc>
          <w:tcPr>
            <w:gridSpan w:val="17"/>
            <w:tcW w:w="90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Дата заполнения "__" _______2020 г.</w:t>
            </w:r>
          </w:p>
        </w:tc>
      </w:tr>
      <w:tr>
        <w:tblPrEx>
          <w:tblBorders>
            <w:insideV w:val="nil"/>
            <w:insideH w:val="nil"/>
          </w:tblBorders>
        </w:tblPrEx>
        <w:tc>
          <w:tcPr>
            <w:gridSpan w:val="6"/>
            <w:tcW w:w="3640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Социальный паспорт принял</w:t>
            </w:r>
          </w:p>
        </w:tc>
        <w:tc>
          <w:tcPr>
            <w:gridSpan w:val="11"/>
            <w:tcW w:w="5413" w:type="dxa"/>
            <w:tcBorders>
              <w:top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blPrEx>
          <w:tblBorders>
            <w:insideV w:val="nil"/>
          </w:tblBorders>
        </w:tblPrEx>
        <w:tc>
          <w:tcPr>
            <w:gridSpan w:val="6"/>
            <w:tcW w:w="3640" w:type="dxa"/>
            <w:tcBorders>
              <w:top w:val="nil"/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</w:r>
          </w:p>
        </w:tc>
        <w:tc>
          <w:tcPr>
            <w:gridSpan w:val="4"/>
            <w:tcW w:w="1926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(подпись)</w:t>
            </w:r>
          </w:p>
        </w:tc>
        <w:tc>
          <w:tcPr>
            <w:gridSpan w:val="7"/>
            <w:tcW w:w="3487" w:type="dxa"/>
            <w:tcBorders>
              <w:bottom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(Ф.И.О. врача)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Губернатора Белгородской обл. от 04.03.2020 N 16</w:t>
            <w:br/>
            <w:t>"Об утверждении порядка взаимодействия территориальных ор...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LAW&amp;n=465788" TargetMode = "External"/>
	<Relationship Id="rId8" Type="http://schemas.openxmlformats.org/officeDocument/2006/relationships/hyperlink" Target="https://login.consultant.ru/link/?req=doc&amp;base=RLAW404&amp;n=9326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Губернатора Белгородской обл. от 04.03.2020 N 16
"Об утверждении порядка взаимодействия территориальных органов Пенсионного фонда Российской Федерации, органов исполнительной власти Белгородской области и учреждений Белгородской области по проведению заблаговременной работы и вынесению решения о выдаче государственного сертификата на материнский (семейный) капитал"</dc:title>
  <dcterms:created xsi:type="dcterms:W3CDTF">2024-04-24T09:05:09Z</dcterms:created>
</cp:coreProperties>
</file>